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19E" w:rsidRDefault="0001619E">
      <w:pPr>
        <w:spacing w:after="0" w:line="240" w:lineRule="auto"/>
        <w:jc w:val="center"/>
        <w:rPr>
          <w:rFonts w:ascii="Times New Roman" w:hAnsi="Times New Roman"/>
          <w:sz w:val="28"/>
        </w:rPr>
      </w:pPr>
    </w:p>
    <w:p w:rsidR="0001619E" w:rsidRDefault="0089457F">
      <w:pPr>
        <w:widowControl/>
        <w:spacing w:line="240" w:lineRule="exact"/>
        <w:jc w:val="center"/>
        <w:rPr>
          <w:rFonts w:ascii="Times New Roman" w:hAnsi="Times New Roman"/>
          <w:b/>
          <w:sz w:val="28"/>
        </w:rPr>
      </w:pPr>
      <w:r>
        <w:rPr>
          <w:rFonts w:ascii="Times New Roman" w:hAnsi="Times New Roman"/>
          <w:b/>
          <w:sz w:val="28"/>
        </w:rPr>
        <w:t>Дума Мошенского муниципального округа</w:t>
      </w:r>
    </w:p>
    <w:p w:rsidR="00972213" w:rsidRDefault="00972213" w:rsidP="00972213">
      <w:pPr>
        <w:widowControl/>
        <w:spacing w:line="240" w:lineRule="exact"/>
        <w:jc w:val="center"/>
        <w:rPr>
          <w:rFonts w:ascii="Times New Roman" w:hAnsi="Times New Roman"/>
          <w:b/>
          <w:sz w:val="28"/>
        </w:rPr>
      </w:pPr>
      <w:r>
        <w:rPr>
          <w:rFonts w:ascii="Times New Roman" w:hAnsi="Times New Roman"/>
          <w:b/>
          <w:sz w:val="28"/>
        </w:rPr>
        <w:t>Новгородская область</w:t>
      </w:r>
    </w:p>
    <w:p w:rsidR="00972213" w:rsidRDefault="00972213">
      <w:pPr>
        <w:widowControl/>
        <w:spacing w:line="240" w:lineRule="exact"/>
        <w:jc w:val="center"/>
        <w:rPr>
          <w:rFonts w:ascii="Times New Roman" w:hAnsi="Times New Roman"/>
          <w:b/>
          <w:sz w:val="28"/>
        </w:rPr>
      </w:pPr>
    </w:p>
    <w:p w:rsidR="0001619E" w:rsidRDefault="0089457F">
      <w:pPr>
        <w:widowControl/>
        <w:spacing w:line="240" w:lineRule="exact"/>
        <w:jc w:val="center"/>
        <w:rPr>
          <w:rFonts w:ascii="Times New Roman" w:hAnsi="Times New Roman"/>
          <w:b/>
          <w:sz w:val="28"/>
        </w:rPr>
      </w:pPr>
      <w:r>
        <w:rPr>
          <w:rFonts w:ascii="Times New Roman" w:hAnsi="Times New Roman"/>
          <w:b/>
          <w:sz w:val="28"/>
        </w:rPr>
        <w:t>РЕШЕНИЕ</w:t>
      </w:r>
    </w:p>
    <w:p w:rsidR="0001619E" w:rsidRDefault="0089457F">
      <w:pPr>
        <w:keepNext/>
        <w:widowControl/>
        <w:tabs>
          <w:tab w:val="left" w:pos="1843"/>
        </w:tabs>
        <w:spacing w:line="240" w:lineRule="exact"/>
        <w:jc w:val="center"/>
        <w:rPr>
          <w:rFonts w:ascii="Times New Roman" w:hAnsi="Times New Roman"/>
          <w:b/>
          <w:sz w:val="28"/>
        </w:rPr>
      </w:pPr>
      <w:r>
        <w:rPr>
          <w:rFonts w:ascii="Times New Roman" w:hAnsi="Times New Roman"/>
          <w:b/>
          <w:sz w:val="28"/>
        </w:rPr>
        <w:t>Об утверждении Положения о порядке предоставления земельных участков на территории Мошенского муниципального округа</w:t>
      </w:r>
    </w:p>
    <w:p w:rsidR="0001619E" w:rsidRDefault="0001619E">
      <w:pPr>
        <w:keepNext/>
        <w:widowControl/>
        <w:tabs>
          <w:tab w:val="left" w:pos="1843"/>
        </w:tabs>
        <w:spacing w:line="240" w:lineRule="exact"/>
        <w:jc w:val="center"/>
        <w:rPr>
          <w:rFonts w:ascii="Times New Roman" w:hAnsi="Times New Roman"/>
          <w:sz w:val="28"/>
        </w:rPr>
      </w:pPr>
    </w:p>
    <w:p w:rsidR="0001619E" w:rsidRDefault="0089457F">
      <w:pPr>
        <w:keepNext/>
        <w:widowControl/>
        <w:tabs>
          <w:tab w:val="left" w:pos="1843"/>
        </w:tabs>
        <w:spacing w:line="240" w:lineRule="exact"/>
        <w:jc w:val="center"/>
        <w:rPr>
          <w:rFonts w:ascii="Times New Roman" w:hAnsi="Times New Roman"/>
          <w:sz w:val="28"/>
        </w:rPr>
      </w:pPr>
      <w:r>
        <w:rPr>
          <w:rFonts w:ascii="Times New Roman" w:hAnsi="Times New Roman"/>
          <w:sz w:val="28"/>
        </w:rPr>
        <w:t>Принято Думой Мошенского муниципального округа от ____</w:t>
      </w:r>
    </w:p>
    <w:p w:rsidR="00AD5D7C" w:rsidRDefault="0089457F">
      <w:pPr>
        <w:widowControl/>
        <w:spacing w:line="360" w:lineRule="atLeast"/>
        <w:ind w:firstLine="709"/>
        <w:jc w:val="both"/>
        <w:rPr>
          <w:rFonts w:ascii="Times New Roman" w:hAnsi="Times New Roman"/>
          <w:sz w:val="28"/>
        </w:rPr>
      </w:pPr>
      <w:r>
        <w:rPr>
          <w:rFonts w:ascii="Times New Roman" w:hAnsi="Times New Roman"/>
          <w:sz w:val="28"/>
        </w:rPr>
        <w:t xml:space="preserve">В соответствии с Земельным Кодексом Российской Федерации, Гражданским Кодексом Российской Федерации, Градостроительным </w:t>
      </w:r>
      <w:r w:rsidR="00AD5D7C">
        <w:rPr>
          <w:rFonts w:ascii="Times New Roman" w:hAnsi="Times New Roman"/>
          <w:sz w:val="28"/>
        </w:rPr>
        <w:t>Кодексом Российской Федерации, ф</w:t>
      </w:r>
      <w:r>
        <w:rPr>
          <w:rFonts w:ascii="Times New Roman" w:hAnsi="Times New Roman"/>
          <w:sz w:val="28"/>
        </w:rPr>
        <w:t xml:space="preserve">едеральными законами от 25 октября 2001 года № 137-ФЗ «О введении в действие Земельного кодекса Российской Федерации», от 24 июля 2002 № 101-ФЗ «Об обороте земель сельскохозяйственного назначения», от 6 октября 2003 года № 131-ФЗ «Об общих принципах организации местного самоуправления в Российской Федерации», </w:t>
      </w:r>
      <w:r w:rsidR="00AD5D7C">
        <w:rPr>
          <w:rFonts w:ascii="Times New Roman" w:hAnsi="Times New Roman"/>
          <w:sz w:val="28"/>
        </w:rPr>
        <w:t xml:space="preserve">областным </w:t>
      </w:r>
      <w:r>
        <w:rPr>
          <w:rFonts w:ascii="Times New Roman" w:hAnsi="Times New Roman"/>
          <w:sz w:val="28"/>
        </w:rPr>
        <w:t>законом Новгородской области от 27.04.2015 № 763-ОЗ «О предоставлении земельных участков на территории Новгородской области»</w:t>
      </w:r>
    </w:p>
    <w:p w:rsidR="0001619E" w:rsidRDefault="0089457F">
      <w:pPr>
        <w:widowControl/>
        <w:spacing w:line="360" w:lineRule="atLeast"/>
        <w:ind w:firstLine="709"/>
        <w:jc w:val="both"/>
        <w:rPr>
          <w:rFonts w:ascii="Times New Roman" w:hAnsi="Times New Roman"/>
          <w:sz w:val="28"/>
        </w:rPr>
      </w:pPr>
      <w:r>
        <w:rPr>
          <w:rFonts w:ascii="Times New Roman" w:hAnsi="Times New Roman"/>
          <w:sz w:val="28"/>
        </w:rPr>
        <w:t xml:space="preserve"> Дума Мошенского муниципального округа</w:t>
      </w:r>
    </w:p>
    <w:p w:rsidR="0001619E" w:rsidRDefault="0089457F">
      <w:pPr>
        <w:widowControl/>
        <w:spacing w:line="360" w:lineRule="atLeast"/>
        <w:ind w:firstLine="709"/>
        <w:jc w:val="both"/>
        <w:rPr>
          <w:rFonts w:ascii="Times New Roman" w:hAnsi="Times New Roman"/>
          <w:b/>
          <w:sz w:val="28"/>
        </w:rPr>
      </w:pPr>
      <w:r>
        <w:rPr>
          <w:rFonts w:ascii="Times New Roman" w:hAnsi="Times New Roman"/>
          <w:b/>
          <w:sz w:val="28"/>
        </w:rPr>
        <w:t>РЕШИЛА:</w:t>
      </w:r>
    </w:p>
    <w:p w:rsidR="0001619E" w:rsidRDefault="0089457F">
      <w:pPr>
        <w:widowControl/>
        <w:spacing w:line="360" w:lineRule="atLeast"/>
        <w:ind w:firstLine="709"/>
        <w:jc w:val="both"/>
        <w:rPr>
          <w:rFonts w:ascii="Times New Roman" w:hAnsi="Times New Roman"/>
          <w:sz w:val="28"/>
        </w:rPr>
      </w:pPr>
      <w:r>
        <w:rPr>
          <w:rFonts w:ascii="Times New Roman" w:hAnsi="Times New Roman"/>
          <w:sz w:val="28"/>
        </w:rPr>
        <w:t>1. Утвердить прилагаемое Положение о порядке предоставления земельных участков на территории Мошенского муниципального округа.</w:t>
      </w:r>
    </w:p>
    <w:p w:rsidR="0001619E" w:rsidRDefault="0089457F">
      <w:pPr>
        <w:widowControl/>
        <w:spacing w:line="360" w:lineRule="atLeast"/>
        <w:ind w:firstLine="709"/>
        <w:jc w:val="both"/>
        <w:rPr>
          <w:rFonts w:ascii="Times New Roman" w:hAnsi="Times New Roman"/>
          <w:sz w:val="28"/>
        </w:rPr>
      </w:pPr>
      <w:r>
        <w:rPr>
          <w:rFonts w:ascii="Times New Roman" w:hAnsi="Times New Roman"/>
          <w:sz w:val="28"/>
        </w:rPr>
        <w:t xml:space="preserve">2. </w:t>
      </w:r>
      <w:r w:rsidR="00AD5D7C">
        <w:rPr>
          <w:rFonts w:ascii="Times New Roman" w:hAnsi="Times New Roman"/>
          <w:sz w:val="28"/>
        </w:rPr>
        <w:t>Р</w:t>
      </w:r>
      <w:r>
        <w:rPr>
          <w:rFonts w:ascii="Times New Roman" w:hAnsi="Times New Roman"/>
          <w:sz w:val="28"/>
        </w:rPr>
        <w:t>ешение в</w:t>
      </w:r>
      <w:r w:rsidR="00AD5D7C">
        <w:rPr>
          <w:rFonts w:ascii="Times New Roman" w:hAnsi="Times New Roman"/>
          <w:sz w:val="28"/>
        </w:rPr>
        <w:t xml:space="preserve">ступает в силу со дня </w:t>
      </w:r>
      <w:r>
        <w:rPr>
          <w:rFonts w:ascii="Times New Roman" w:hAnsi="Times New Roman"/>
          <w:sz w:val="28"/>
        </w:rPr>
        <w:t xml:space="preserve">официального опубликования. </w:t>
      </w:r>
    </w:p>
    <w:p w:rsidR="0001619E" w:rsidRDefault="0089457F">
      <w:pPr>
        <w:widowControl/>
        <w:spacing w:line="360" w:lineRule="atLeast"/>
        <w:ind w:firstLine="709"/>
        <w:jc w:val="both"/>
        <w:rPr>
          <w:rFonts w:ascii="Times New Roman" w:hAnsi="Times New Roman"/>
          <w:sz w:val="28"/>
        </w:rPr>
      </w:pPr>
      <w:r>
        <w:rPr>
          <w:rFonts w:ascii="Times New Roman" w:hAnsi="Times New Roman"/>
          <w:sz w:val="28"/>
        </w:rPr>
        <w:t>3. Опубликовать решение в бюллетене «Официальный вестник Мошенского муниципального округа».</w:t>
      </w:r>
    </w:p>
    <w:p w:rsidR="0001619E" w:rsidRDefault="0089457F">
      <w:pPr>
        <w:widowControl/>
        <w:spacing w:line="240" w:lineRule="exact"/>
        <w:rPr>
          <w:rFonts w:ascii="Times New Roman" w:hAnsi="Times New Roman"/>
          <w:sz w:val="28"/>
        </w:rPr>
      </w:pPr>
      <w:r>
        <w:rPr>
          <w:rFonts w:ascii="Times New Roman" w:hAnsi="Times New Roman"/>
          <w:noProof/>
          <w:sz w:val="28"/>
        </w:rPr>
        <mc:AlternateContent>
          <mc:Choice Requires="wps">
            <w:drawing>
              <wp:anchor distT="0" distB="0" distL="114300" distR="114300" simplePos="0" relativeHeight="251658240" behindDoc="0" locked="0" layoutInCell="1" allowOverlap="1">
                <wp:simplePos x="0" y="0"/>
                <wp:positionH relativeFrom="column">
                  <wp:posOffset>10458450</wp:posOffset>
                </wp:positionH>
                <wp:positionV relativeFrom="paragraph">
                  <wp:posOffset>2114550</wp:posOffset>
                </wp:positionV>
                <wp:extent cx="571500" cy="76200"/>
                <wp:effectExtent l="0" t="0" r="0" b="0"/>
                <wp:wrapNone/>
                <wp:docPr id="1" name="Picture 1"/>
                <wp:cNvGraphicFramePr/>
                <a:graphic xmlns:a="http://schemas.openxmlformats.org/drawingml/2006/main">
                  <a:graphicData uri="http://schemas.microsoft.com/office/word/2010/wordprocessingShape">
                    <wps:wsp>
                      <wps:cNvCnPr/>
                      <wps:spPr>
                        <a:xfrm rot="5400000">
                          <a:off x="0" y="0"/>
                          <a:ext cx="571500" cy="76200"/>
                        </a:xfrm>
                        <a:prstGeom prst="line">
                          <a:avLst/>
                        </a:prstGeom>
                        <a:solidFill>
                          <a:srgbClr val="FFFFFF"/>
                        </a:solidFill>
                        <a:ln w="12700">
                          <a:solidFill>
                            <a:srgbClr val="000000"/>
                          </a:solidFill>
                          <a:prstDash val="solid"/>
                          <a:tailEnd type="triangle" w="med" len="med"/>
                        </a:ln>
                      </wps:spPr>
                      <wps:bodyPr/>
                    </wps:wsp>
                  </a:graphicData>
                </a:graphic>
              </wp:anchor>
            </w:drawing>
          </mc:Choice>
          <mc:Fallback>
            <w:pict>
              <v:line w14:anchorId="21661E60" id="Picture 1" o:spid="_x0000_s1026" style="position:absolute;rotation:90;z-index:251658240;visibility:visible;mso-wrap-style:square;mso-wrap-distance-left:9pt;mso-wrap-distance-top:0;mso-wrap-distance-right:9pt;mso-wrap-distance-bottom:0;mso-position-horizontal:absolute;mso-position-horizontal-relative:text;mso-position-vertical:absolute;mso-position-vertical-relative:text" from="823.5pt,166.5pt" to="86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" filled="t" strokeweight="1pt">
                <v:stroke endarrow="block"/>
              </v:line>
            </w:pict>
          </mc:Fallback>
        </mc:AlternateContent>
      </w:r>
    </w:p>
    <w:tbl>
      <w:tblPr>
        <w:tblW w:w="0" w:type="auto"/>
        <w:tblLayout w:type="fixed"/>
        <w:tblLook w:val="04A0" w:firstRow="1" w:lastRow="0" w:firstColumn="1" w:lastColumn="0" w:noHBand="0" w:noVBand="1"/>
      </w:tblPr>
      <w:tblGrid>
        <w:gridCol w:w="4644"/>
        <w:gridCol w:w="284"/>
        <w:gridCol w:w="4819"/>
      </w:tblGrid>
      <w:tr w:rsidR="0001619E">
        <w:trPr>
          <w:trHeight w:val="1195"/>
        </w:trPr>
        <w:tc>
          <w:tcPr>
            <w:tcW w:w="4644" w:type="dxa"/>
            <w:shd w:val="clear" w:color="auto" w:fill="auto"/>
            <w:tcMar>
              <w:top w:w="0" w:type="dxa"/>
              <w:left w:w="108" w:type="dxa"/>
              <w:bottom w:w="0" w:type="dxa"/>
              <w:right w:w="108" w:type="dxa"/>
            </w:tcMar>
          </w:tcPr>
          <w:p w:rsidR="0001619E" w:rsidRDefault="0089457F">
            <w:pPr>
              <w:widowControl/>
              <w:jc w:val="both"/>
              <w:rPr>
                <w:rFonts w:ascii="Times New Roman" w:hAnsi="Times New Roman"/>
                <w:b/>
                <w:sz w:val="28"/>
              </w:rPr>
            </w:pPr>
            <w:r>
              <w:rPr>
                <w:rFonts w:ascii="Times New Roman" w:hAnsi="Times New Roman"/>
                <w:b/>
                <w:sz w:val="28"/>
              </w:rPr>
              <w:t>Председатель Думы</w:t>
            </w:r>
          </w:p>
          <w:p w:rsidR="0001619E" w:rsidRDefault="0089457F">
            <w:pPr>
              <w:widowControl/>
              <w:jc w:val="both"/>
              <w:rPr>
                <w:rFonts w:ascii="Times New Roman" w:hAnsi="Times New Roman"/>
                <w:b/>
                <w:sz w:val="28"/>
              </w:rPr>
            </w:pPr>
            <w:r>
              <w:rPr>
                <w:rFonts w:ascii="Times New Roman" w:hAnsi="Times New Roman"/>
                <w:b/>
                <w:sz w:val="28"/>
              </w:rPr>
              <w:t>муниципального округа</w:t>
            </w:r>
          </w:p>
          <w:p w:rsidR="0001619E" w:rsidRDefault="0089457F">
            <w:pPr>
              <w:widowControl/>
              <w:jc w:val="right"/>
              <w:rPr>
                <w:rFonts w:ascii="Times New Roman" w:hAnsi="Times New Roman"/>
                <w:b/>
                <w:sz w:val="28"/>
              </w:rPr>
            </w:pPr>
            <w:r>
              <w:rPr>
                <w:rFonts w:ascii="Times New Roman" w:hAnsi="Times New Roman"/>
                <w:b/>
                <w:sz w:val="28"/>
              </w:rPr>
              <w:t>В.В. Ким</w:t>
            </w:r>
          </w:p>
        </w:tc>
        <w:tc>
          <w:tcPr>
            <w:tcW w:w="284" w:type="dxa"/>
            <w:shd w:val="clear" w:color="auto" w:fill="auto"/>
            <w:tcMar>
              <w:top w:w="0" w:type="dxa"/>
              <w:left w:w="108" w:type="dxa"/>
              <w:bottom w:w="0" w:type="dxa"/>
              <w:right w:w="108" w:type="dxa"/>
            </w:tcMar>
          </w:tcPr>
          <w:p w:rsidR="0001619E" w:rsidRDefault="0001619E">
            <w:pPr>
              <w:widowControl/>
              <w:jc w:val="both"/>
              <w:rPr>
                <w:rFonts w:ascii="Times New Roman" w:hAnsi="Times New Roman"/>
                <w:b/>
                <w:sz w:val="28"/>
              </w:rPr>
            </w:pPr>
          </w:p>
        </w:tc>
        <w:tc>
          <w:tcPr>
            <w:tcW w:w="4819" w:type="dxa"/>
            <w:shd w:val="clear" w:color="auto" w:fill="auto"/>
            <w:tcMar>
              <w:top w:w="0" w:type="dxa"/>
              <w:left w:w="108" w:type="dxa"/>
              <w:bottom w:w="0" w:type="dxa"/>
              <w:right w:w="108" w:type="dxa"/>
            </w:tcMar>
          </w:tcPr>
          <w:p w:rsidR="0001619E" w:rsidRDefault="0089457F">
            <w:pPr>
              <w:widowControl/>
              <w:jc w:val="both"/>
              <w:rPr>
                <w:rFonts w:ascii="Times New Roman" w:hAnsi="Times New Roman"/>
                <w:b/>
                <w:sz w:val="28"/>
              </w:rPr>
            </w:pPr>
            <w:r>
              <w:rPr>
                <w:rFonts w:ascii="Times New Roman" w:hAnsi="Times New Roman"/>
                <w:b/>
                <w:sz w:val="28"/>
              </w:rPr>
              <w:t>Глава муниципального округа</w:t>
            </w:r>
          </w:p>
          <w:p w:rsidR="0001619E" w:rsidRDefault="0001619E">
            <w:pPr>
              <w:widowControl/>
              <w:jc w:val="both"/>
              <w:rPr>
                <w:rFonts w:ascii="Times New Roman" w:hAnsi="Times New Roman"/>
                <w:b/>
                <w:sz w:val="28"/>
              </w:rPr>
            </w:pPr>
          </w:p>
          <w:p w:rsidR="0001619E" w:rsidRDefault="0089457F">
            <w:pPr>
              <w:widowControl/>
              <w:jc w:val="right"/>
              <w:rPr>
                <w:rFonts w:ascii="Times New Roman" w:hAnsi="Times New Roman"/>
                <w:b/>
                <w:sz w:val="28"/>
              </w:rPr>
            </w:pPr>
            <w:r>
              <w:rPr>
                <w:rFonts w:ascii="Times New Roman" w:hAnsi="Times New Roman"/>
                <w:b/>
                <w:sz w:val="28"/>
              </w:rPr>
              <w:t>Т.В. Павлова</w:t>
            </w:r>
          </w:p>
        </w:tc>
      </w:tr>
    </w:tbl>
    <w:p w:rsidR="0001619E" w:rsidRDefault="0001619E">
      <w:pPr>
        <w:widowControl/>
        <w:spacing w:line="240" w:lineRule="exact"/>
        <w:jc w:val="right"/>
        <w:outlineLvl w:val="1"/>
        <w:rPr>
          <w:rFonts w:ascii="Times New Roman" w:hAnsi="Times New Roman"/>
          <w:sz w:val="28"/>
        </w:rPr>
      </w:pPr>
    </w:p>
    <w:p w:rsidR="0001619E" w:rsidRDefault="0001619E">
      <w:pPr>
        <w:widowControl/>
        <w:spacing w:line="240" w:lineRule="exact"/>
        <w:jc w:val="right"/>
        <w:outlineLvl w:val="1"/>
        <w:rPr>
          <w:rFonts w:ascii="Times New Roman" w:hAnsi="Times New Roman"/>
          <w:sz w:val="28"/>
        </w:rPr>
      </w:pPr>
    </w:p>
    <w:p w:rsidR="0001619E" w:rsidRDefault="0001619E">
      <w:pPr>
        <w:widowControl/>
        <w:spacing w:line="240" w:lineRule="exact"/>
        <w:jc w:val="right"/>
        <w:outlineLvl w:val="1"/>
        <w:rPr>
          <w:rFonts w:ascii="Times New Roman" w:hAnsi="Times New Roman"/>
          <w:sz w:val="28"/>
        </w:rPr>
      </w:pPr>
    </w:p>
    <w:p w:rsidR="00972213" w:rsidRDefault="00972213">
      <w:pPr>
        <w:widowControl/>
        <w:spacing w:line="240" w:lineRule="exact"/>
        <w:jc w:val="right"/>
        <w:outlineLvl w:val="1"/>
        <w:rPr>
          <w:rFonts w:ascii="Times New Roman" w:hAnsi="Times New Roman"/>
          <w:sz w:val="28"/>
        </w:rPr>
      </w:pPr>
    </w:p>
    <w:p w:rsidR="00972213" w:rsidRDefault="00972213">
      <w:pPr>
        <w:widowControl/>
        <w:spacing w:line="240" w:lineRule="exact"/>
        <w:jc w:val="right"/>
        <w:outlineLvl w:val="1"/>
        <w:rPr>
          <w:rFonts w:ascii="Times New Roman" w:hAnsi="Times New Roman"/>
          <w:sz w:val="28"/>
        </w:rPr>
      </w:pPr>
    </w:p>
    <w:p w:rsidR="0001619E" w:rsidRDefault="0001619E">
      <w:pPr>
        <w:widowControl/>
        <w:spacing w:line="240" w:lineRule="exact"/>
        <w:jc w:val="right"/>
        <w:outlineLvl w:val="1"/>
        <w:rPr>
          <w:rFonts w:ascii="Times New Roman" w:hAnsi="Times New Roman"/>
          <w:sz w:val="28"/>
        </w:rPr>
      </w:pPr>
    </w:p>
    <w:p w:rsidR="0001619E" w:rsidRDefault="0001619E">
      <w:pPr>
        <w:widowControl/>
        <w:spacing w:line="240" w:lineRule="exact"/>
        <w:jc w:val="right"/>
        <w:outlineLvl w:val="1"/>
        <w:rPr>
          <w:rFonts w:ascii="Times New Roman" w:hAnsi="Times New Roman"/>
          <w:sz w:val="28"/>
        </w:rPr>
      </w:pPr>
    </w:p>
    <w:p w:rsidR="0001619E" w:rsidRDefault="0001619E">
      <w:pPr>
        <w:widowControl/>
        <w:spacing w:line="240" w:lineRule="exact"/>
        <w:jc w:val="right"/>
        <w:outlineLvl w:val="1"/>
        <w:rPr>
          <w:rFonts w:ascii="Times New Roman" w:hAnsi="Times New Roman"/>
          <w:sz w:val="28"/>
        </w:rPr>
      </w:pPr>
    </w:p>
    <w:p w:rsidR="0001619E" w:rsidRDefault="0089457F">
      <w:pPr>
        <w:widowControl/>
        <w:spacing w:line="240" w:lineRule="exact"/>
        <w:jc w:val="right"/>
        <w:outlineLvl w:val="1"/>
        <w:rPr>
          <w:rFonts w:ascii="Times New Roman" w:hAnsi="Times New Roman"/>
          <w:sz w:val="28"/>
        </w:rPr>
      </w:pPr>
      <w:r>
        <w:rPr>
          <w:rFonts w:ascii="Times New Roman" w:hAnsi="Times New Roman"/>
          <w:sz w:val="28"/>
        </w:rPr>
        <w:lastRenderedPageBreak/>
        <w:t>УТВЕРЖДЕНО</w:t>
      </w:r>
    </w:p>
    <w:p w:rsidR="0001619E" w:rsidRDefault="00AD5D7C">
      <w:pPr>
        <w:widowControl/>
        <w:spacing w:line="240" w:lineRule="exact"/>
        <w:jc w:val="right"/>
        <w:outlineLvl w:val="1"/>
        <w:rPr>
          <w:rFonts w:ascii="Times New Roman" w:hAnsi="Times New Roman"/>
          <w:sz w:val="28"/>
        </w:rPr>
      </w:pPr>
      <w:r>
        <w:rPr>
          <w:rFonts w:ascii="Times New Roman" w:hAnsi="Times New Roman"/>
          <w:sz w:val="28"/>
        </w:rPr>
        <w:t>р</w:t>
      </w:r>
      <w:r w:rsidR="0089457F">
        <w:rPr>
          <w:rFonts w:ascii="Times New Roman" w:hAnsi="Times New Roman"/>
          <w:sz w:val="28"/>
        </w:rPr>
        <w:t>ешением Думы</w:t>
      </w:r>
    </w:p>
    <w:p w:rsidR="0001619E" w:rsidRDefault="0089457F">
      <w:pPr>
        <w:widowControl/>
        <w:spacing w:line="240" w:lineRule="exact"/>
        <w:jc w:val="right"/>
        <w:outlineLvl w:val="1"/>
        <w:rPr>
          <w:rFonts w:ascii="Times New Roman" w:hAnsi="Times New Roman"/>
          <w:sz w:val="28"/>
        </w:rPr>
      </w:pPr>
      <w:r>
        <w:rPr>
          <w:rFonts w:ascii="Times New Roman" w:hAnsi="Times New Roman"/>
          <w:sz w:val="28"/>
        </w:rPr>
        <w:t>Мошенского муниципального округа</w:t>
      </w:r>
    </w:p>
    <w:p w:rsidR="00AD5D7C" w:rsidRDefault="00AD5D7C">
      <w:pPr>
        <w:widowControl/>
        <w:spacing w:line="240" w:lineRule="exact"/>
        <w:jc w:val="right"/>
        <w:outlineLvl w:val="1"/>
        <w:rPr>
          <w:rFonts w:ascii="Times New Roman" w:hAnsi="Times New Roman"/>
          <w:sz w:val="28"/>
        </w:rPr>
      </w:pPr>
      <w:r>
        <w:rPr>
          <w:rFonts w:ascii="Times New Roman" w:hAnsi="Times New Roman"/>
          <w:sz w:val="28"/>
        </w:rPr>
        <w:t>Новгородской области</w:t>
      </w:r>
    </w:p>
    <w:p w:rsidR="0001619E" w:rsidRDefault="0089457F">
      <w:pPr>
        <w:widowControl/>
        <w:spacing w:line="240" w:lineRule="exact"/>
        <w:jc w:val="right"/>
        <w:outlineLvl w:val="1"/>
        <w:rPr>
          <w:rFonts w:ascii="Times New Roman" w:hAnsi="Times New Roman"/>
          <w:sz w:val="28"/>
        </w:rPr>
      </w:pPr>
      <w:r>
        <w:rPr>
          <w:rFonts w:ascii="Times New Roman" w:hAnsi="Times New Roman"/>
          <w:sz w:val="28"/>
        </w:rPr>
        <w:t>от ______ № _____</w:t>
      </w:r>
    </w:p>
    <w:p w:rsidR="0001619E" w:rsidRDefault="0089457F">
      <w:pPr>
        <w:widowControl/>
        <w:spacing w:after="0" w:line="240" w:lineRule="auto"/>
        <w:jc w:val="center"/>
        <w:rPr>
          <w:rFonts w:ascii="Times New Roman" w:hAnsi="Times New Roman"/>
          <w:b/>
          <w:sz w:val="28"/>
        </w:rPr>
      </w:pPr>
      <w:r>
        <w:rPr>
          <w:rFonts w:ascii="Times New Roman" w:hAnsi="Times New Roman"/>
          <w:b/>
          <w:sz w:val="28"/>
        </w:rPr>
        <w:t>ПОЛОЖЕНИЕ</w:t>
      </w:r>
    </w:p>
    <w:p w:rsidR="0001619E" w:rsidRDefault="0089457F">
      <w:pPr>
        <w:widowControl/>
        <w:spacing w:after="0" w:line="240" w:lineRule="auto"/>
        <w:jc w:val="center"/>
        <w:rPr>
          <w:rFonts w:ascii="Times New Roman" w:hAnsi="Times New Roman"/>
          <w:b/>
          <w:sz w:val="28"/>
        </w:rPr>
      </w:pPr>
      <w:r>
        <w:rPr>
          <w:rFonts w:ascii="Times New Roman" w:hAnsi="Times New Roman"/>
          <w:b/>
          <w:sz w:val="28"/>
        </w:rPr>
        <w:t>О ПОРЯДКЕ ПРЕДОСТАВЛЕНИЯ ЗЕМЕЛЬНЫХ УЧАСТКОВ</w:t>
      </w:r>
    </w:p>
    <w:p w:rsidR="0001619E" w:rsidRDefault="0089457F">
      <w:pPr>
        <w:widowControl/>
        <w:spacing w:after="0" w:line="240" w:lineRule="auto"/>
        <w:jc w:val="center"/>
        <w:rPr>
          <w:rFonts w:ascii="Times New Roman" w:hAnsi="Times New Roman"/>
          <w:b/>
          <w:sz w:val="28"/>
        </w:rPr>
      </w:pPr>
      <w:r>
        <w:rPr>
          <w:rFonts w:ascii="Times New Roman" w:hAnsi="Times New Roman"/>
          <w:b/>
          <w:sz w:val="28"/>
        </w:rPr>
        <w:t>НА ТЕРРИТОРИИ МОШЕНСКОГО МУНИЦИПАЛЬНОГО ОКРУГА</w:t>
      </w:r>
    </w:p>
    <w:p w:rsidR="0001619E" w:rsidRDefault="0089457F">
      <w:pPr>
        <w:widowControl/>
        <w:spacing w:after="0" w:line="240" w:lineRule="auto"/>
        <w:jc w:val="center"/>
        <w:rPr>
          <w:rFonts w:ascii="Times New Roman" w:hAnsi="Times New Roman"/>
          <w:b/>
          <w:sz w:val="28"/>
        </w:rPr>
      </w:pPr>
      <w:r>
        <w:rPr>
          <w:rFonts w:ascii="Times New Roman" w:hAnsi="Times New Roman"/>
          <w:b/>
          <w:sz w:val="28"/>
        </w:rPr>
        <w:t>Раздел 1. ОБЩИЕ ПОЛОЖЕНИЯ</w:t>
      </w:r>
    </w:p>
    <w:p w:rsidR="0001619E" w:rsidRDefault="0001619E">
      <w:pPr>
        <w:widowControl/>
        <w:spacing w:after="0" w:line="240" w:lineRule="auto"/>
        <w:jc w:val="center"/>
        <w:rPr>
          <w:rFonts w:ascii="Times New Roman" w:hAnsi="Times New Roman"/>
          <w:b/>
          <w:sz w:val="28"/>
        </w:rPr>
      </w:pP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1.1. Настоящее Положение о порядке предоставления земельных участков, расположенных на территории Мошенского муниципального округа, определяет процедуры обращения заинтересованных лиц в орган местного самоуправления, порядок взаимодействия органов местного самоуправления и структурных подразделений органов местного самоуправления.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1.2. Настоящее Положение определяет процедуры и критерии предоставления земельных участков, в том числе порядок рассмотрения заявок и принятия решений. Положение регламентирует порядок распоряжения земельными участками, которые находятся в собственности Мошенского муниципального округа, и (или) земельными участками, государственная собственность на которые не разграничена, расположенными на территории Мошенского муниципального округа (далее - земельные участки).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Настоящее Положение применяется в соответствии с Земельным Кодексом Российской Федерации, Гражданским Кодексом Российской Федерации, Градостроительным Кодексом Российской Федерации, Федеральными законами от 25 октября 2001 года № 137-ФЗ «О введении в действие Земельного кодекса Российской Федерации», от 24 июля 2002 № 101-ФЗ «Об обороте земель сельскохозяйственного назначения», от 6 октября 2003 года № 131-ФЗ «Об общих принципах организации местного самоуправления в Российской Федерации», законом Новгородской области от 27.04.2015 № 763-ОЗ «О предоставлении земельных участков на территории Новгородской области».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xml:space="preserve">1.3. На территории Мошенского муниципального округа уполномоченным органом по управлению и распоряжению земельными участками, </w:t>
      </w:r>
      <w:r w:rsidRPr="00AD5D7C">
        <w:rPr>
          <w:rFonts w:ascii="Times New Roman" w:hAnsi="Times New Roman"/>
          <w:color w:val="FF0000"/>
          <w:sz w:val="28"/>
        </w:rPr>
        <w:t xml:space="preserve">(далее </w:t>
      </w:r>
      <w:r>
        <w:rPr>
          <w:rFonts w:ascii="Times New Roman" w:hAnsi="Times New Roman"/>
          <w:sz w:val="28"/>
        </w:rPr>
        <w:t xml:space="preserve">- </w:t>
      </w:r>
      <w:r w:rsidRPr="00AD5D7C">
        <w:rPr>
          <w:rFonts w:ascii="Times New Roman" w:hAnsi="Times New Roman"/>
          <w:color w:val="FF0000"/>
          <w:sz w:val="28"/>
        </w:rPr>
        <w:t>Уполномоченный орган</w:t>
      </w:r>
      <w:r>
        <w:rPr>
          <w:rFonts w:ascii="Times New Roman" w:hAnsi="Times New Roman"/>
          <w:sz w:val="28"/>
        </w:rPr>
        <w:t>), является</w:t>
      </w:r>
      <w:r w:rsidR="00AD5D7C">
        <w:rPr>
          <w:rFonts w:ascii="Times New Roman" w:hAnsi="Times New Roman"/>
          <w:sz w:val="28"/>
        </w:rPr>
        <w:t xml:space="preserve"> А</w:t>
      </w:r>
      <w:r>
        <w:rPr>
          <w:rFonts w:ascii="Times New Roman" w:hAnsi="Times New Roman"/>
          <w:sz w:val="28"/>
        </w:rPr>
        <w:t>дминистрация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1.4. Администрация Мошенского муниципального округа ведет прием заявителей по следующим вопросам:</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предварительному согласованию предоставления земельных участков, которые предстоит образовать;</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предварительному согласованию предоставления земельных участков, границы которых подлежат уточнению;</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выдаче разрешений на использование земель или земельных участков, за исключением земельных участков, предоставленных гражданам или юридическим лицам, без предоставления земельных участков и установления сервитута;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lastRenderedPageBreak/>
        <w:t>- проведения аукционов на право заключить договор о развитии застроенной территории и аукционов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заключению соглашений об установлении сервитутов;</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проведения аукционов по продаже земельных участков и аукционов на право заключения договоров аренды земельных участков;</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предоставлению земельных участков;</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заключению соглашений о перераспределении земельных участков;</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постановке граждан на учет, в качестве лиц, имеющих право на предоставление земельных участков в собственность бесплатно.</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1.5. Земельные участки могут быть предоставлены в собственность, постоянное (бессрочное) пользование, безвозмездное пользование, аренду.</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xml:space="preserve">Земельные участки могут использоваться на условиях сервитута, без предоставления земельных участков и установления сервитута, в случаях установленных Земельным кодексом Российской Федерации. </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1.6. Земельные участки предоставляются на основании: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 постановления администрации Мошенского муниципального округа в случае предоставления земельного участка в собственность бесплатно или в постоянное (бессрочное) пользование;</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 договора безвозмездного пользования в случае предоставления земельного участка в безвозмездное пользование;</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3) договора купли-продажи в случае предоставления земельного участка в собственность за плату;</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 договора аренды в случае предоставления земельного участка в аренду.</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1.6.1. Договоры купли-продажи, аренды, безвозмездного пользования заключаются с администрацией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1.6.2. Договоры о комплексном освоении территории, об освоении территории в целях строительства жилья экономического класса, договоры о комплексном освоении территории в целях строительства жилья экономического класса заключаются с администрацией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1.6.3. В случае обмена земельного участка, находящегося в частной собственности, право собственности на земельный участок, находящийся в собственности Мошенского муниципального округа возникает у собственника обмениваемого земельного участка на основании договора мены.</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Договоры мены заключаются с администрацией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1.6.4. В случае возможности установления сервитута в отношении земельного участка, находящегося в собственности Мошенского муниципального округа соглашение об установлении сервитута заключается с администрацией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xml:space="preserve">1.6.5. В случае принятия решения об утверждении схемы расположения земельного участка и выдаче согласия на заключение соглашения о </w:t>
      </w:r>
      <w:r>
        <w:rPr>
          <w:rFonts w:ascii="Times New Roman" w:hAnsi="Times New Roman"/>
          <w:sz w:val="28"/>
        </w:rPr>
        <w:lastRenderedPageBreak/>
        <w:t>перераспределении земельных участков в соответствии с утвержденным проектом межевания территории соглашение о перераспределении земель и (или) земельных участков, заключается с администрацией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1.6.6. Выдача разрешений на использование земель или земельных участков, за исключением земельных участков, предоставленных гражданам или юридическим лицам, без предоставления земельных участков и установления сервитута осуществляется администрацией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1.7. Права на земельные участки, подлежат государственной регистрации в соответствии с Федеральным законом от 13.07.2015 № 218-ФЗ «О государственной регистрации недвижимости» с учетом требований статей 25, 26 Земельного кодекса Российской Федерации в органе, осуществляющем государственный кадастровый учет и государственную регистрацию прав.</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1.8. Продажа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1.9. Продажа земельных участков, осуществляется на торгах, проводимых в форме электронных аукционов, за исключением случаев, предусмотренных пунктом 2 статьи 39.3 Земельного кодекса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1.10. Земельные участки предоставляются гражданину или юридическому лицу в собственность бесплатно в случаях, установленных статьей 39.5 Земельного кодекса Российской Федерации и иными федеральными законами, а также областным законом № 763-ОЗ от 27.04.2015 «О предоставлении земельных участков на территории Новгородской области».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1.11. Договор аренды земельного участка, заключается на торгах, проводимых в форме электронного аукциона, за исключением случаев, предусмотренных пунктом 2 статьи 39.6 Земельного кодекса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1.12. Земельные участки, предоставляются в постоянное (бессрочное) пользование исключительно лицам, указанным в пункте 2 статьи 39.9 Земельного кодекса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1.13. В целях соблюдения юридическими лицами, индивидуальными предпринимателями, гражданами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при использовании земель на территории Мошенского муниципального округа осуществляется муниципальный земельный контроль.</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1.14. Предоставление земельных участков осуществляется на основании заявлений заинтересованных физических и юридических лиц, подаваемых в Уполномоченный орган.</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lastRenderedPageBreak/>
        <w:t>Содержание заявлений и порядок предоставления земельных участков установлены Земельным кодексом Российской Федерации, состав и последовательность процедур предоставления муниципальных услуг в сфере земельных отношений на территории Мошенского муниципального округа устанавливаются административными регламентами, утверждаемыми постановлением администрации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1.15. При исполнении услуг по предоставлению земельных участков часть функций может исполняться с участием Многофункционального центра предоставления государственных (муниципальных) услуг (далее - МФЦ), в соответствии с заключаемым администрацией Мошенского муниципального округа соглашением о взаимодействии.</w:t>
      </w:r>
    </w:p>
    <w:p w:rsidR="0001619E" w:rsidRDefault="0001619E">
      <w:pPr>
        <w:widowControl/>
        <w:spacing w:after="0" w:line="240" w:lineRule="auto"/>
        <w:jc w:val="center"/>
        <w:rPr>
          <w:rFonts w:ascii="Times New Roman" w:hAnsi="Times New Roman"/>
          <w:sz w:val="28"/>
        </w:rPr>
      </w:pPr>
    </w:p>
    <w:p w:rsidR="0001619E" w:rsidRDefault="0089457F">
      <w:pPr>
        <w:widowControl/>
        <w:spacing w:after="0" w:line="240" w:lineRule="auto"/>
        <w:jc w:val="center"/>
        <w:rPr>
          <w:rFonts w:ascii="Times New Roman" w:hAnsi="Times New Roman"/>
          <w:b/>
          <w:sz w:val="28"/>
        </w:rPr>
      </w:pPr>
      <w:r>
        <w:rPr>
          <w:rFonts w:ascii="Times New Roman" w:hAnsi="Times New Roman"/>
          <w:b/>
          <w:sz w:val="28"/>
        </w:rPr>
        <w:t>Раздел 2. ПРЕДОСТАВЛЕНИЕ ЗЕМЕЛЬНЫХ УЧАСТКОВ</w:t>
      </w:r>
    </w:p>
    <w:p w:rsidR="0001619E" w:rsidRDefault="0089457F">
      <w:pPr>
        <w:widowControl/>
        <w:spacing w:after="0" w:line="240" w:lineRule="auto"/>
        <w:jc w:val="center"/>
        <w:rPr>
          <w:rFonts w:ascii="Times New Roman" w:hAnsi="Times New Roman"/>
          <w:b/>
          <w:sz w:val="28"/>
        </w:rPr>
      </w:pPr>
      <w:r>
        <w:rPr>
          <w:rFonts w:ascii="Times New Roman" w:hAnsi="Times New Roman"/>
          <w:b/>
          <w:sz w:val="28"/>
        </w:rPr>
        <w:t>В АРЕНДУ, СОБСТВЕННОСТЬ, ПОСТОЯННОЕ (БЕССРОЧНОЕ)</w:t>
      </w:r>
    </w:p>
    <w:p w:rsidR="0001619E" w:rsidRDefault="0089457F">
      <w:pPr>
        <w:widowControl/>
        <w:spacing w:after="0" w:line="240" w:lineRule="auto"/>
        <w:jc w:val="center"/>
        <w:rPr>
          <w:rFonts w:ascii="Times New Roman" w:hAnsi="Times New Roman"/>
          <w:b/>
          <w:sz w:val="28"/>
        </w:rPr>
      </w:pPr>
      <w:r>
        <w:rPr>
          <w:rFonts w:ascii="Times New Roman" w:hAnsi="Times New Roman"/>
          <w:b/>
          <w:sz w:val="28"/>
        </w:rPr>
        <w:t>ПОЛЬЗОВАНИЕ, БЕЗВОЗМЕЗДНОЕ ПОЛЬЗОВАНИЕ</w:t>
      </w:r>
    </w:p>
    <w:p w:rsidR="0001619E" w:rsidRDefault="0001619E">
      <w:pPr>
        <w:widowControl/>
        <w:spacing w:after="0" w:line="240" w:lineRule="auto"/>
        <w:jc w:val="center"/>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2.1. Предоставление земельных участков в аренду</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xml:space="preserve">2.1.1. В аренду земельные участки могут предоставляться юридическим лицам, иностранным юридическим лицам, гражданам, лицам без гражданства, иностранным гражданам. </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2.1.2. Договор аренды земельного участка, находящегося в собственности Мошенского муниципального района, заключается на торгах, проводимых в форме аукциона, за исключением случаев, установленных пунктом 2 статьи 39.6 Земельного кодекса Российской Федерации (далее – Земельный кодекс).</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Предоставление гражданину или крестьянскому (фермерскому) хозяйству для осуществления крестьянским (фермерским) хозяйством его деятельности земельного участка из земель сельскохозяйственного назначения, находящегося в государственной или муниципальной собственности, осуществляется в порядке, установленном Земельным кодексом Российской Федерации, с учетом особенностей, предусмотренных статьями 10 и 10.1 Федерального закона от 24.07.2002 № 101-ФЗ «Об обороте земель сельскохозяйственного назначения».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2.1.3. Сроки аренды установлены пунктами 8-9 статьи 39.8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Договор аренды земельных участков, заключенный сроком более одного года, подлежит государственной регистрации.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2.1.4. По договору аренды земли арендатор обязан уплачивать арендную плату за землю. Размер арендной платы за земельный участок, находящийся в государственной или муниципальной собственности, определяется в соответствии со статьей 39.7 Земельного кодекса и определяется в соответствии с основными принципами определения арендной платы, установленными Правительством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lastRenderedPageBreak/>
        <w:t>2.1.5. В случае заключения договора аренды земельного участка,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Начальная цена предмета аукциона на право заключения договора аренды земельного участка устанавливается в соответствии с пунктом 14 статьи 39.11 Земельного кодекса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пунктом 7 статьи 39.18 Земельного кодекса)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законом «Об оценочной деятельности в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Если аукцион признан несостоявшимся и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2.1.6. Если иное не установлено Земельным кодексом или другими федеральными законами, порядок определения размера арендной платы за земельные участки, предоставленные в аренду без торгов, устанавливается органами местного самоуправления в отношении земельных участков, находящихся на территории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Земельным кодексом, иными федеральными законами могут устанавливаться предельные размеры арендной платы в установленных этими законами случаях.</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2.1.7. Арендная плата за земельные участки вносится арендаторами путем перечисления денежных средств по реквизитам, и в сроки указанные в договоре аренды.</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2.2. Предоставление земельных участков в собственность</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xml:space="preserve">2.2.1. В собственность земельные участки могут предоставляться юридическим лицам, иностранным юридическим лицам, гражданам, лицам без гражданства, иностранным гражданам. </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Земельным кодексом.</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2.2.2. Предоставление земельного участка, гражданину или юридическому лицу в собственность бесплатно осуществляется в случаях, предусмотренных Земельным кодексом, федеральными законами, а также областным законом № 763-ОЗ от 27.04.2015 «О предоставлении земельных участков на территории Новгородской области».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Постановление администрации Мошенского муниципального округа о предоставлении в собственность бесплатно земельного участка, является основанием для государственной регистрации права собственности на земельный участок.</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2.2.3. Предоставление земельных участков, отдельным категориям граждан в собственность бесплатно, осуществляется однократно. Если гражданин имеет право на предоставление земельного участка в собственность бесплатно по нескольким основаниям, этот гражданин вправе получить бесплатно в собственность земельный участок по одному из оснований.</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устанавливается областным законом Новгородской области.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2.2.4. Продажа земельных участков, осуществляется на торгах, проводимых в форме аукционов, за исключением случаев, предусмотренных пунктом 2 статьи 39.3 Земельного кодекса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2.2.5. Начальная цена предмета аукциона по продаже земельного участка устанавливается в соответствии с пунктом 12 статьи 39.11 Земельного кодекса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По результатам аукциона по продаже земельного участка определяется цена такого земельного участка.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обязан направить заявителю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предмета аукциона.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предмета аукциона.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Если аукцион признан несостоявшимся и договор купли-продажи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2.2.6. При заключении договора купли-продажи земельного участка без проведения торгов цена такого земельного участка, если иное не установлено федеральными законами, определяется в отношении земельных участков, государственная собственность на которые не разграничена, в порядке, установленном Правительством Новгородской области, в отношении земельных участков, находящихся в муниципальной собственности, - органом местного самоуправления Новгородской области.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При заключении договора купли-продажи земельного участка, без проведения торгов цена земельного участка не может превышать его кадастровую стоимость или иной размер цены земельного участка, если он установлен федеральным законом.</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2.2.7. При продаже земельного участка, право собственности у гражданина или юридического лица на земельный участок возникает на основании договора купли-продажи земельного участка, заключаемого администрацией Мошенского муниципального округа, с момента государственной регистрации перехода права собственности.</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2.3. Предоставление земельных участков в постоянное (бессрочное) пользование</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2.3.1. Земельные участки предоставляются в постоянное (бессрочное) пользование исключительно:</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 органам государственной власти и органам местного самоуправления;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 государственным и муниципальным учреждениям (бюджетным, казенным, автономным);</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3) казенным предприятиям.</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Лицам, указанным в настоящем пункте, предоставление земельных участков, на других правах не допускается, если иное не предусмотрено статьями 39.10 и 39.20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2.3.2. Постановление администрации Мошенского муниципального округа о предоставлении в постоянное (бессрочное) пользование земельного участка, является основанием для государственной регистрации права постоянного (бессрочного) пользования земельным участком.</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2.4 Предоставление земельных участков в безвозмездное пользование</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2.4.1. В безвозмездное пользование земельные участки предоставляются на условиях и в порядке, которые установлены статьей 39.10 Земельного кодекса Российской Федерации, в том числе в виде служебного надела.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Категории работников организаций транспорта, лесной промышленности, категории работников лесного хозяйства,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и других сфер деятельности, имеющих право на получение служебных наделов, устанавливаются областным законом.</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2.5.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2.5.1. Порядок и сроки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осуществляется в соответствии с положениями статьи 39.18. Земельного кодекса Российской Федерации.</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Раздел 3. ОБМЕН ЗЕМЕЛЬНОГО УЧАСТКА, НАХОДЯЩЕГОСЯ В СОБСТВЕННОСТИ Мошенского МУНИЦИПАЛЬНОГО ОКРУГА, НА ЗЕМЕЛЬНЫЙ УЧАСТОК, НАХОДЯЩИЙСЯ В ЧАСТНОЙ СОБСТВЕННОСТИ</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3.1. Обмен земельного участка, находящегося в собственности Мошенского муниципального округа, на земельный участок, находящийся в частной собственности, допускается при обмене:</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 земельного участка, находящегося в собственности Мошенского муниципального округа, на земельный участок, находящийся в частной собственности и изымаемый для муниципальных нужд;</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 земельного участка, находящегося в собственности Мошенского муниципального округа,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3.2. Договор мены заключается между администрацией Мошенского муниципального округа и собственником земельного участка.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Условия договора мены земельного участка, находящегося в собственности Мошенского муниципального округа, на земельный участок, находящийся в частной собственности установлены статьей 39.22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Договор мены земельных участков подлежит государственной регистрации.</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Раздел 4. УСТАНОВЛЕНИЕ СЕРВИТУТА В ОТНОШЕНИИ ЗЕМЕЛЬНОГО УЧАСТКА, НАХОДЯЩЕГОСЯ В СОБСТВЕННОСТИ МОШЕНСКОГО МУНИЦИПАЛЬНОГО ОКРУГА</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4.1. Соглашение об установлении сервитута в отношении земельного участка, заключается в случаях, установленных гражданским законодательством, Земельным кодексом, другими федеральными законами.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4.2. В случае, если находящийся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настоящим пунктом или договором аренды либо договором безвозмездного пользования не предусмотрено иное.</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4.3. В случае, если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 организация.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4.4.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4.5. Арендатор вправе заключать соглашение об установлении сервитута на срок, не превышающий срока действия договора аренды земельного участка.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Со дня досрочного расторжения договора аренды земельного участка действие заключенного арендатором соглашения об установлении сервитута в отношении такого земельного участка прекращается.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4.6. Если иное не установлено федеральными законами, плата по соглашению об установлении сервитута в отношении земельных участков, находящихся в собственности Мошенского муниципального района, определяется в порядке, установленном администрацией Мошенского муниципального района, в отношении земельных участков, находящихся в собственности Мошенского муниципального района.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4.7. Плата по соглашению об установлении сервитута в отношении земельного участка, находящегося в собственности Мошенского муниципального района,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4.8. Сервитут подлежит государственной регистрации.</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Раздел 5. УСТАНОВЛЕНИЕ ПУБЛИЧНОГО СЕРВИТУТА</w:t>
      </w:r>
    </w:p>
    <w:p w:rsidR="0001619E" w:rsidRDefault="0001619E">
      <w:pPr>
        <w:widowControl/>
        <w:spacing w:after="0" w:line="240" w:lineRule="auto"/>
        <w:ind w:firstLine="709"/>
        <w:jc w:val="both"/>
        <w:rPr>
          <w:rFonts w:ascii="Times New Roman" w:hAnsi="Times New Roman"/>
          <w:b/>
          <w:sz w:val="28"/>
        </w:rPr>
      </w:pP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5.1. Публичный сервитут устанавливается для использования земельных участков и (или) земель в следующих целях:</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 складирование строительных и иных материалов, размещение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3) устройство пересечений автомобильных дорог на земельных участках, находящихся в государственной собственности, а также устройство пересечений автомобильных дорог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4)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 реконструкция, капитальный ремонт участков (частей) инженерных сооружений, являющихся линейными объектами.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5.2. Публичный сервитут в отношении земельных участков и (или) земель для их использования в целях, предусмотренных статьей 39.37 Земельного кодекса Российской Федерации (далее также в настоящем разделе - публичный сервитут), устанавливается: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 решениями органов местного самоуправления муниципального района - в случаях установления публичного сервитута для размещения инженерных сооружений, являющихся объектами местного значения муниципального района, городского и сельских поселений, размещения автомобильных дорог местного значения муниципального района, городского и сельских поселений, устройства пересечений автомобильных дорог местного значения городского поселения или для устройства примыканий автомобильных дорог к автомобильным дорогам местного значения городского поселения, а также в целях, предусмотренных статьей 39.37 Земельного кодекса Российской Федерации (далее Земельного кодекса) и не указанных в настоящей статье, в отношении земельных участков и (или) земель, расположенных в границах городского поселения и сельских поселений, на межселенных территориях.</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5.3.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Земельного кодекса (далее также в настоящем разделе - орган, уполномоченный на установление публичного сервитута), на основании ходатайства об установлении публичного сервитута.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5.4. Публичный сервитут должен устанавливаться с учетом положений статьи 23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5.5. Установление публичного сервитута допускается только при условии обоснования необходимости его установления в соответствии с пунктами 2 и 3 статьи 39.41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5.6. Установление публичного сервитута осуществляется независимо от формы собственности на земельный участок.</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5.7. Не допускается установление публичного сервитута в целях, указанных в подпунктах 1 и 2 статьи 39.37 Земельного кодекса, в отношении земельных участков, предоставленных или принадлежащих гражданам и предназначенных для индивидуального жилищного строительства, ведения гражданами садоводства или огородничества для собственных нужд, личного подсобного хозяйства, за исключением случаев, если это требуется для: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 эксплуатации, реконструкции существующих инженерных сооружений, реконструкции, капитального ремонта их частей;</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3) размещения инженерных сооружений, которые переносятся с земельных участков, изымаемых для государственных или муниципальных нужд.</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xml:space="preserve">5.8. С ходатайством об установлении публичного сервитута вправе обратиться лица указанные в статье 39.40. Земельного кодекса. </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5.9. В ходатайстве об установлении публичного сервитута должна быть указана информация, указанная в пункте 1 статьи 39.41.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обосновании необходимости установления публичного сервитута должна быть приведена информация, указанная в пункте 2 статьи 39.41.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Обоснование необходимости установления публичного сервитута, должно также содержать информацию, указанную в пункте 3 статьи 39.41.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К ходатайству об установлении публичного сервитута прилагаются документы указанные в пункте 5 статьи 39.41.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Границы публичного сервитута в целях, предусмотренных подпунктами 1, 3 и 4 статьи 39.37 Земельного кодекса,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разработка документации по планировке территории не требуется, в пределах, не превышающих размеров соответствующих охранных зон. Границы публичного сервитута могут устанавливаться в пределах, превышающих размеры соответствующих охранных зон, в соответствии с расчетами, содержащимися в проектной документации линейного объекта, в случае, если размещение неотъемлемых технологических частей указанного линейного объекта на условиях публичного сервитута осуществляется за пределами границ таких охранных зон.</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Ходатайство об установлении публичного сервитута и прилагаемые к нему документы могут быть поданы по выбору заявителя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в порядке и способами, которые установлены в соответствии с Земельным кодексом для ходатайства об изъятии земельных участков для государственных или муниципальных нужд.</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xml:space="preserve">Орган, </w:t>
      </w:r>
      <w:bookmarkStart w:id="0" w:name="_GoBack"/>
      <w:r>
        <w:rPr>
          <w:rFonts w:ascii="Times New Roman" w:hAnsi="Times New Roman"/>
          <w:sz w:val="28"/>
        </w:rPr>
        <w:t>уполномоченный</w:t>
      </w:r>
      <w:bookmarkEnd w:id="0"/>
      <w:r>
        <w:rPr>
          <w:rFonts w:ascii="Times New Roman" w:hAnsi="Times New Roman"/>
          <w:sz w:val="28"/>
        </w:rPr>
        <w:t xml:space="preserve">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обстоятельств указанных в пункте 9 статьи 39.41.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5.10. Орган, уполномоченный на установление публичного сервитута, принимает решение об установлении публичного сервитута или об отказе в его установлении в течение времени указанного в пунктах 1-3 статьи 39.43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5.11. Решение об установлении публичного сервитута должно содержать информацию указанную в пункте 4 статьи 39.43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случае, если подано ходатайство об установлении публичного сервитута в целях строительства или реконструкции инженерного сооружения, публичный сервитут устанавливается в целях размещения такого инженерного сооружения.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течение пяти рабочих дней со дня принятия решения об установлении публичного сервитута орган, уполномоченный на установление публичного сервитута, обязан:</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1) разместить решение об установлении публичного сервитута на своем официальном сайте в информационно-телекоммуникационной сети "Интернет";</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2) направить копию решения об установлении публичного сервитута в орган регистрации прав;</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3) направить обладателю публичного сервитута 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Публичный сервитут считается установленным со дня внесения сведений о нем в Единый государственный реестр недвижимости.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5.12. В установлении публичного сервитута должно быть отказано, при наличии условий указанных в пункте 1 статьи 39.44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 решении об отказе в установлении публичного сервитута должны быть приведены все основания для такого отказа. 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5.13. Публичный сервитут устанавливается на срок, указанный в ходатайстве об установлении публичного сервитута, с учетом положений пункта 7 статьи 23 Земельного кодекса и ограничений указанных в пункте 1 статьи 39.45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5.14. Обладатель публичного сервитута обязан вносить плату за публичный сервитут, если иное не предусмотрено Земельным кодексом.</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Условия платы за публичный сервитут указаны в статье 39.46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5.15. Соглашение об осуществлении публичного сервитута составляется в соответствии со статьей 39.47. Земельного кодекса.</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Раздел 6. ПЕРЕРАСПРЕДЕЛЕНИЕ ЗЕМЕЛЬ И (ИЛИ) ЗЕМЕЛЬНЫХ УЧАСТКОВ, НАХОДЯЩИХСЯ В СОБСТВЕННОСТИ Мошенского МУНИЦИПАЛЬНОГО РАЙОНА И ЗЕМЕЛЬНЫХ УЧАСТКОВ, НАХОДЯЩИХСЯ В ЧАСТНОЙ СОБСТВЕННОСТИ</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6.1.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порядке допускается и в случаях указанных в статьях 39.27 и 39.28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6.2. Соглашение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заключается в порядке указанном в статье 39.29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Вышеуказанное соглашение является основанием для государственной регистрации возникновения права муниципальной и (или) частной собственности на земельные участки.</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 xml:space="preserve">6.3. Плата не взимается со следующих категорий граждан при перераспределении земельных участков, находящихся в собственности граждан, и земель и (или) земельных участков, находящихся в государственной или муниципальной собственности, и предназначенных для ведения личного подсобного хозяйства, гражданами садоводства или огородничества для собственных нужд,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w:t>
      </w:r>
      <w:r>
        <w:rPr>
          <w:rFonts w:ascii="Times New Roman" w:hAnsi="Times New Roman"/>
          <w:sz w:val="28"/>
          <w:u w:color="000000"/>
        </w:rPr>
        <w:t>предельных</w:t>
      </w:r>
      <w:r>
        <w:rPr>
          <w:rFonts w:ascii="Times New Roman" w:hAnsi="Times New Roman"/>
          <w:sz w:val="28"/>
        </w:rPr>
        <w:t xml:space="preserve"> максимальных размеров земельных участков:</w:t>
      </w:r>
    </w:p>
    <w:p w:rsidR="0001619E" w:rsidRDefault="0089457F">
      <w:pPr>
        <w:numPr>
          <w:ilvl w:val="0"/>
          <w:numId w:val="1"/>
        </w:numPr>
        <w:spacing w:after="0" w:line="240" w:lineRule="auto"/>
        <w:ind w:left="0" w:firstLine="709"/>
        <w:jc w:val="both"/>
        <w:rPr>
          <w:rFonts w:ascii="Times New Roman" w:hAnsi="Times New Roman"/>
          <w:sz w:val="28"/>
        </w:rPr>
      </w:pPr>
      <w:r>
        <w:rPr>
          <w:rFonts w:ascii="Times New Roman" w:hAnsi="Times New Roman"/>
          <w:sz w:val="28"/>
        </w:rPr>
        <w:t>инвалиды I группы и семьи с детьми-инвалидами;</w:t>
      </w:r>
    </w:p>
    <w:p w:rsidR="0001619E" w:rsidRDefault="0089457F">
      <w:pPr>
        <w:widowControl/>
        <w:numPr>
          <w:ilvl w:val="0"/>
          <w:numId w:val="1"/>
        </w:numPr>
        <w:spacing w:after="0" w:line="240" w:lineRule="auto"/>
        <w:ind w:left="0" w:firstLine="709"/>
        <w:jc w:val="both"/>
        <w:rPr>
          <w:rFonts w:ascii="Times New Roman" w:hAnsi="Times New Roman"/>
          <w:sz w:val="28"/>
        </w:rPr>
      </w:pPr>
      <w:r>
        <w:rPr>
          <w:rFonts w:ascii="Times New Roman" w:hAnsi="Times New Roman"/>
          <w:sz w:val="28"/>
        </w:rPr>
        <w:t> ветераны ВОВ, труженики тыла ВОВ, инвалиды ВОВ и их вдовы, бывшие узники нацистских концлагерей, тюрем и гетто, бывшие военнопленные во время ВОВ;</w:t>
      </w:r>
    </w:p>
    <w:p w:rsidR="0001619E" w:rsidRDefault="0089457F">
      <w:pPr>
        <w:widowControl/>
        <w:numPr>
          <w:ilvl w:val="0"/>
          <w:numId w:val="1"/>
        </w:numPr>
        <w:spacing w:after="0" w:line="240" w:lineRule="auto"/>
        <w:ind w:left="0" w:firstLine="709"/>
        <w:jc w:val="both"/>
        <w:rPr>
          <w:rFonts w:ascii="Times New Roman" w:hAnsi="Times New Roman"/>
          <w:sz w:val="28"/>
        </w:rPr>
      </w:pPr>
      <w:r>
        <w:rPr>
          <w:rFonts w:ascii="Times New Roman" w:hAnsi="Times New Roman"/>
          <w:sz w:val="28"/>
        </w:rPr>
        <w:t>ветераны боевых действий;</w:t>
      </w:r>
    </w:p>
    <w:p w:rsidR="0001619E" w:rsidRDefault="0089457F">
      <w:pPr>
        <w:widowControl/>
        <w:numPr>
          <w:ilvl w:val="0"/>
          <w:numId w:val="1"/>
        </w:numPr>
        <w:spacing w:after="0" w:line="240" w:lineRule="auto"/>
        <w:ind w:left="0" w:firstLine="709"/>
        <w:jc w:val="both"/>
        <w:rPr>
          <w:rFonts w:ascii="Times New Roman" w:hAnsi="Times New Roman"/>
          <w:sz w:val="28"/>
        </w:rPr>
      </w:pPr>
      <w:r>
        <w:rPr>
          <w:rFonts w:ascii="Times New Roman" w:hAnsi="Times New Roman"/>
          <w:sz w:val="28"/>
        </w:rPr>
        <w:t> лица, получившие или перенесшие лучевую болезнь и другие заболевания, связанные с радиационным воздействием вследствие катастрофы на Чернобыльской АЭС либо с работами по ликвидации ее последствий;</w:t>
      </w:r>
    </w:p>
    <w:p w:rsidR="0001619E" w:rsidRDefault="0089457F">
      <w:pPr>
        <w:widowControl/>
        <w:numPr>
          <w:ilvl w:val="0"/>
          <w:numId w:val="1"/>
        </w:numPr>
        <w:spacing w:after="0" w:line="240" w:lineRule="auto"/>
        <w:ind w:left="0" w:firstLine="709"/>
        <w:jc w:val="both"/>
        <w:rPr>
          <w:rFonts w:ascii="Times New Roman" w:hAnsi="Times New Roman"/>
          <w:sz w:val="28"/>
        </w:rPr>
      </w:pPr>
      <w:r>
        <w:rPr>
          <w:rFonts w:ascii="Times New Roman" w:hAnsi="Times New Roman"/>
          <w:sz w:val="28"/>
        </w:rPr>
        <w:t>участники специальной военной операции;</w:t>
      </w:r>
    </w:p>
    <w:p w:rsidR="0001619E" w:rsidRDefault="0089457F">
      <w:pPr>
        <w:widowControl/>
        <w:numPr>
          <w:ilvl w:val="0"/>
          <w:numId w:val="1"/>
        </w:numPr>
        <w:spacing w:after="0" w:line="240" w:lineRule="auto"/>
        <w:ind w:left="0" w:firstLine="709"/>
        <w:jc w:val="both"/>
        <w:rPr>
          <w:rFonts w:ascii="Times New Roman" w:hAnsi="Times New Roman"/>
          <w:sz w:val="28"/>
        </w:rPr>
      </w:pPr>
      <w:r>
        <w:rPr>
          <w:rFonts w:ascii="Times New Roman" w:hAnsi="Times New Roman"/>
          <w:sz w:val="28"/>
        </w:rPr>
        <w:t>многодетные семьи;</w:t>
      </w:r>
    </w:p>
    <w:p w:rsidR="0001619E" w:rsidRDefault="0089457F">
      <w:pPr>
        <w:widowControl/>
        <w:numPr>
          <w:ilvl w:val="0"/>
          <w:numId w:val="1"/>
        </w:numPr>
        <w:spacing w:after="0" w:line="240" w:lineRule="auto"/>
        <w:ind w:left="0" w:firstLine="709"/>
        <w:jc w:val="both"/>
        <w:rPr>
          <w:rFonts w:ascii="Times New Roman" w:hAnsi="Times New Roman"/>
          <w:sz w:val="28"/>
        </w:rPr>
      </w:pPr>
      <w:r>
        <w:rPr>
          <w:rFonts w:ascii="Times New Roman" w:hAnsi="Times New Roman"/>
          <w:sz w:val="28"/>
        </w:rPr>
        <w:t xml:space="preserve">граждане старше 80 лет. </w:t>
      </w:r>
    </w:p>
    <w:p w:rsidR="0001619E" w:rsidRDefault="0089457F">
      <w:pPr>
        <w:widowControl/>
        <w:spacing w:after="0" w:line="240" w:lineRule="auto"/>
        <w:ind w:firstLine="709"/>
        <w:jc w:val="both"/>
        <w:rPr>
          <w:rFonts w:ascii="Times New Roman" w:hAnsi="Times New Roman"/>
          <w:b/>
          <w:sz w:val="28"/>
        </w:rPr>
      </w:pPr>
      <w:r>
        <w:rPr>
          <w:rFonts w:ascii="Times New Roman" w:hAnsi="Times New Roman"/>
          <w:b/>
          <w:sz w:val="28"/>
        </w:rPr>
        <w:t>Раздел 7. ИСПОЛЬЗОВАНИЕ ЗЕМЕЛЬ ИЛИ ЗЕМЕЛЬНЫХ УЧАСТКОВ, БЕЗ ПРЕДОСТАВЛЕНИЯ ЗЕМЕЛЬНЫХ УЧАСТКОВ И УСТАНОВЛЕНИЯ СЕРВИТУТА</w:t>
      </w:r>
    </w:p>
    <w:p w:rsidR="0001619E" w:rsidRDefault="0001619E">
      <w:pPr>
        <w:widowControl/>
        <w:spacing w:after="0" w:line="240" w:lineRule="auto"/>
        <w:ind w:firstLine="709"/>
        <w:jc w:val="both"/>
        <w:rPr>
          <w:rFonts w:ascii="Times New Roman" w:hAnsi="Times New Roman"/>
          <w:sz w:val="28"/>
        </w:rPr>
      </w:pP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7.1. Использование земель или земельных участков,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 указанных в статье 39.33 Земельного кодекса.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7.2. Использование земель или земельных участков, осуществляется на основании разрешений, выдаваемых администрацией Мошенского муниципального округа.</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7.3. Разрешение на использование земель или земельного участка, выдается администрацией Мошенского муниципального округа порядке, установленном Правительством Российской Федерации на срок, установленный подпунктами 1-5 пункта 1 статьи 39.34 Земельного кодекса и действует до дня предоставления земельного участка гражданину или юридическому лицу.</w:t>
      </w:r>
    </w:p>
    <w:p w:rsidR="0001619E" w:rsidRDefault="0089457F">
      <w:pPr>
        <w:widowControl/>
        <w:spacing w:after="0" w:line="240" w:lineRule="auto"/>
        <w:ind w:firstLine="709"/>
        <w:jc w:val="both"/>
        <w:rPr>
          <w:rFonts w:ascii="Times New Roman" w:hAnsi="Times New Roman"/>
          <w:sz w:val="28"/>
        </w:rPr>
      </w:pPr>
      <w:r>
        <w:rPr>
          <w:rFonts w:ascii="Times New Roman" w:hAnsi="Times New Roman"/>
          <w:sz w:val="28"/>
        </w:rPr>
        <w:t>7.4. В течение десяти дней со дня выдачи разрешения на использование земель или земельного участка, администрация Мошенского муниципального округа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sectPr w:rsidR="0001619E">
      <w:headerReference w:type="default" r:id="rId7"/>
      <w:footerReference w:type="first" r:id="rId8"/>
      <w:pgSz w:w="11908" w:h="16848"/>
      <w:pgMar w:top="283" w:right="567" w:bottom="1400" w:left="1417" w:header="709" w:footer="913"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57F" w:rsidRDefault="0089457F">
      <w:pPr>
        <w:spacing w:after="0" w:line="240" w:lineRule="auto"/>
      </w:pPr>
      <w:r>
        <w:separator/>
      </w:r>
    </w:p>
  </w:endnote>
  <w:endnote w:type="continuationSeparator" w:id="0">
    <w:p w:rsidR="0089457F" w:rsidRDefault="00894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19E" w:rsidRDefault="0001619E">
    <w:pPr>
      <w:pStyle w:val="aa"/>
      <w:spacing w:after="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57F" w:rsidRDefault="0089457F">
      <w:pPr>
        <w:spacing w:after="0" w:line="240" w:lineRule="auto"/>
      </w:pPr>
      <w:r>
        <w:separator/>
      </w:r>
    </w:p>
  </w:footnote>
  <w:footnote w:type="continuationSeparator" w:id="0">
    <w:p w:rsidR="0089457F" w:rsidRDefault="008945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19E" w:rsidRDefault="0089457F">
    <w:pPr>
      <w:pStyle w:val="a3"/>
      <w:jc w:val="center"/>
    </w:pPr>
    <w:r>
      <w:fldChar w:fldCharType="begin"/>
    </w:r>
    <w:r>
      <w:instrText xml:space="preserve">PAGE </w:instrText>
    </w:r>
    <w:r>
      <w:fldChar w:fldCharType="separate"/>
    </w:r>
    <w:r w:rsidR="00AD5D7C">
      <w:rPr>
        <w:noProof/>
      </w:rPr>
      <w:t>14</w:t>
    </w:r>
    <w:r>
      <w:fldChar w:fldCharType="end"/>
    </w:r>
  </w:p>
  <w:p w:rsidR="0001619E" w:rsidRDefault="000161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D086A"/>
    <w:multiLevelType w:val="multilevel"/>
    <w:tmpl w:val="E552F890"/>
    <w:lvl w:ilvl="0">
      <w:numFmt w:val="bullet"/>
      <w:lvlText w:val="-"/>
      <w:lvlJc w:val="left"/>
      <w:pPr>
        <w:widowControl w:val="0"/>
        <w:ind w:left="720" w:hanging="360"/>
      </w:pPr>
      <w:rPr>
        <w:rFonts w:ascii="Calibri" w:hAnsi="Calibri"/>
      </w:rPr>
    </w:lvl>
    <w:lvl w:ilvl="1">
      <w:numFmt w:val="bullet"/>
      <w:lvlText w:val="o"/>
      <w:lvlJc w:val="left"/>
      <w:pPr>
        <w:widowControl w:val="0"/>
        <w:ind w:left="1440" w:hanging="360"/>
      </w:pPr>
      <w:rPr>
        <w:rFonts w:ascii="Courier New" w:hAnsi="Courier New"/>
      </w:rPr>
    </w:lvl>
    <w:lvl w:ilvl="2">
      <w:numFmt w:val="bullet"/>
      <w:lvlText w:val=""/>
      <w:lvlJc w:val="left"/>
      <w:pPr>
        <w:widowControl w:val="0"/>
        <w:ind w:left="2160" w:hanging="360"/>
      </w:pPr>
      <w:rPr>
        <w:rFonts w:ascii="Wingdings" w:hAnsi="Wingdings"/>
      </w:rPr>
    </w:lvl>
    <w:lvl w:ilvl="3">
      <w:numFmt w:val="bullet"/>
      <w:lvlText w:val="-"/>
      <w:lvlJc w:val="left"/>
      <w:pPr>
        <w:widowControl w:val="0"/>
        <w:ind w:left="2880" w:hanging="360"/>
      </w:pPr>
      <w:rPr>
        <w:rFonts w:ascii="Calibri" w:hAnsi="Calibri"/>
      </w:rPr>
    </w:lvl>
    <w:lvl w:ilvl="4">
      <w:numFmt w:val="bullet"/>
      <w:lvlText w:val="o"/>
      <w:lvlJc w:val="left"/>
      <w:pPr>
        <w:widowControl w:val="0"/>
        <w:ind w:left="3600" w:hanging="360"/>
      </w:pPr>
      <w:rPr>
        <w:rFonts w:ascii="Courier New" w:hAnsi="Courier New"/>
      </w:rPr>
    </w:lvl>
    <w:lvl w:ilvl="5">
      <w:numFmt w:val="bullet"/>
      <w:lvlText w:val=""/>
      <w:lvlJc w:val="left"/>
      <w:pPr>
        <w:widowControl w:val="0"/>
        <w:ind w:left="4320" w:hanging="360"/>
      </w:pPr>
      <w:rPr>
        <w:rFonts w:ascii="Wingdings" w:hAnsi="Wingdings"/>
      </w:rPr>
    </w:lvl>
    <w:lvl w:ilvl="6">
      <w:numFmt w:val="bullet"/>
      <w:lvlText w:val="-"/>
      <w:lvlJc w:val="left"/>
      <w:pPr>
        <w:widowControl w:val="0"/>
        <w:ind w:left="5040" w:hanging="360"/>
      </w:pPr>
      <w:rPr>
        <w:rFonts w:ascii="Calibri" w:hAnsi="Calibri"/>
      </w:rPr>
    </w:lvl>
    <w:lvl w:ilvl="7">
      <w:numFmt w:val="bullet"/>
      <w:lvlText w:val="o"/>
      <w:lvlJc w:val="left"/>
      <w:pPr>
        <w:widowControl w:val="0"/>
        <w:ind w:left="5760" w:hanging="360"/>
      </w:pPr>
      <w:rPr>
        <w:rFonts w:ascii="Courier New" w:hAnsi="Courier New"/>
      </w:rPr>
    </w:lvl>
    <w:lvl w:ilvl="8">
      <w:numFmt w:val="bullet"/>
      <w:lvlText w:val=""/>
      <w:lvlJc w:val="left"/>
      <w:pPr>
        <w:widowControl w:val="0"/>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01619E"/>
    <w:rsid w:val="0001619E"/>
    <w:rsid w:val="00316330"/>
    <w:rsid w:val="0089457F"/>
    <w:rsid w:val="00972213"/>
    <w:rsid w:val="00AD5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C979BF-5DC3-4039-B635-0D79E191A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widowControl w:val="0"/>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Основной шрифт абзаца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a3">
    <w:name w:val="header"/>
    <w:basedOn w:val="a"/>
    <w:link w:val="a4"/>
    <w:pPr>
      <w:tabs>
        <w:tab w:val="center" w:pos="4677"/>
        <w:tab w:val="right" w:pos="9355"/>
      </w:tabs>
      <w:spacing w:after="0" w:line="240" w:lineRule="auto"/>
    </w:pPr>
  </w:style>
  <w:style w:type="character" w:customStyle="1" w:styleId="a4">
    <w:name w:val="Верхний колонтитул Знак"/>
    <w:basedOn w:val="1"/>
    <w:link w:val="a3"/>
  </w:style>
  <w:style w:type="paragraph" w:styleId="a5">
    <w:name w:val="Normal (Web)"/>
    <w:basedOn w:val="a"/>
    <w:link w:val="a6"/>
    <w:pPr>
      <w:spacing w:beforeAutospacing="1" w:afterAutospacing="1" w:line="240" w:lineRule="auto"/>
    </w:pPr>
    <w:rPr>
      <w:rFonts w:ascii="Times New Roman" w:hAnsi="Times New Roman"/>
      <w:sz w:val="24"/>
    </w:rPr>
  </w:style>
  <w:style w:type="character" w:customStyle="1" w:styleId="a6">
    <w:name w:val="Обычный (веб) Знак"/>
    <w:basedOn w:val="1"/>
    <w:link w:val="a5"/>
    <w:rPr>
      <w:rFonts w:ascii="Times New Roman" w:hAnsi="Times New Roman"/>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paragraph" w:styleId="a7">
    <w:name w:val="Balloon Text"/>
    <w:basedOn w:val="a"/>
    <w:link w:val="a8"/>
    <w:pPr>
      <w:spacing w:after="0" w:line="240" w:lineRule="auto"/>
    </w:pPr>
    <w:rPr>
      <w:rFonts w:ascii="Segoe UI" w:hAnsi="Segoe UI"/>
      <w:sz w:val="18"/>
    </w:rPr>
  </w:style>
  <w:style w:type="character" w:customStyle="1" w:styleId="a8">
    <w:name w:val="Текст выноски Знак"/>
    <w:basedOn w:val="1"/>
    <w:link w:val="a7"/>
    <w:rPr>
      <w:rFonts w:ascii="Segoe UI" w:hAnsi="Segoe UI"/>
      <w:sz w:val="18"/>
    </w:rPr>
  </w:style>
  <w:style w:type="character" w:customStyle="1" w:styleId="11">
    <w:name w:val="Заголовок 1 Знак"/>
    <w:link w:val="10"/>
    <w:rPr>
      <w:rFonts w:ascii="XO Thames" w:hAnsi="XO Thames"/>
      <w:b/>
      <w:sz w:val="32"/>
    </w:rPr>
  </w:style>
  <w:style w:type="paragraph" w:customStyle="1" w:styleId="13">
    <w:name w:val="Гиперссылка1"/>
    <w:link w:val="a9"/>
    <w:rPr>
      <w:color w:val="0563C1"/>
      <w:u w:val="single"/>
    </w:rPr>
  </w:style>
  <w:style w:type="character" w:styleId="a9">
    <w:name w:val="Hyperlink"/>
    <w:link w:val="13"/>
    <w:rPr>
      <w:color w:val="0563C1"/>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a">
    <w:name w:val="footer"/>
    <w:basedOn w:val="a"/>
    <w:link w:val="ab"/>
    <w:pPr>
      <w:tabs>
        <w:tab w:val="center" w:pos="4677"/>
        <w:tab w:val="right" w:pos="9355"/>
      </w:tabs>
      <w:spacing w:after="0" w:line="240" w:lineRule="auto"/>
    </w:pPr>
  </w:style>
  <w:style w:type="character" w:customStyle="1" w:styleId="ab">
    <w:name w:val="Нижний колонтитул Знак"/>
    <w:basedOn w:val="1"/>
    <w:link w:val="aa"/>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c">
    <w:name w:val="No Spacing"/>
    <w:link w:val="ad"/>
    <w:pPr>
      <w:spacing w:after="0" w:line="240" w:lineRule="auto"/>
    </w:pPr>
  </w:style>
  <w:style w:type="character" w:customStyle="1" w:styleId="ad">
    <w:name w:val="Без интервала Знак"/>
    <w:link w:val="ac"/>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e">
    <w:name w:val="Subtitle"/>
    <w:next w:val="a"/>
    <w:link w:val="af"/>
    <w:uiPriority w:val="11"/>
    <w:qFormat/>
    <w:pPr>
      <w:jc w:val="both"/>
    </w:pPr>
    <w:rPr>
      <w:rFonts w:ascii="XO Thames" w:hAnsi="XO Thames"/>
      <w:i/>
      <w:sz w:val="24"/>
    </w:rPr>
  </w:style>
  <w:style w:type="character" w:customStyle="1" w:styleId="af">
    <w:name w:val="Подзаголовок Знак"/>
    <w:link w:val="ae"/>
    <w:rPr>
      <w:rFonts w:ascii="XO Thames" w:hAnsi="XO Thames"/>
      <w:i/>
      <w:sz w:val="24"/>
    </w:rPr>
  </w:style>
  <w:style w:type="paragraph" w:styleId="af0">
    <w:name w:val="Title"/>
    <w:next w:val="a"/>
    <w:link w:val="af1"/>
    <w:uiPriority w:val="10"/>
    <w:qFormat/>
    <w:pPr>
      <w:spacing w:before="567" w:after="567"/>
      <w:jc w:val="center"/>
    </w:pPr>
    <w:rPr>
      <w:rFonts w:ascii="XO Thames" w:hAnsi="XO Thames"/>
      <w:b/>
      <w:caps/>
      <w:sz w:val="40"/>
    </w:rPr>
  </w:style>
  <w:style w:type="character" w:customStyle="1" w:styleId="af1">
    <w:name w:val="Название Знак"/>
    <w:link w:val="af0"/>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styleId="af2">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5936</Words>
  <Characters>33836</Characters>
  <Application>Microsoft Office Word</Application>
  <DocSecurity>0</DocSecurity>
  <Lines>281</Lines>
  <Paragraphs>79</Paragraphs>
  <ScaleCrop>false</ScaleCrop>
  <Company/>
  <LinksUpToDate>false</LinksUpToDate>
  <CharactersWithSpaces>39693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DeloArxiv</cp:lastModifiedBy>
  <cp:revision>4</cp:revision>
  <dcterms:created xsi:type="dcterms:W3CDTF">2026-03-23T09:19:00Z</dcterms:created>
  <dcterms:modified xsi:type="dcterms:W3CDTF">2026-06-24T12:11:00Z</dcterms:modified>
</cp:coreProperties>
</file>